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Выводы судов с учетом установленных обстоятельств дела соответствуют правовым позициям Судебной коллегии по экономическим спорам Верховного Суда Российской Федерации, изложенным в определениях от 26.04.2022 № 309-ЭС21-27706 и от 06.06.2022 № 305-ЭС22-763.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городу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