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2 Удовлетворяя иск и подтверждая правильность этого вывода, суды, исследовав и оценив представленные в материалы дела доказательства, руководствуясь положениями гражданского законодательства и законодательства, регулирующего обращение с твердыми коммунальными отходами (далее – ТКО) и порядок их коммерческого учета объема и (или) массы, пришли к выводу об отсутствии оснований для освобождения ответчика от обязанности по оплате оказанных истцом в спорный период услуг по обращению с ТКО. Изложенные в кассационной жалобе доводы были предметом рассмотрения судов и получили правовую оценку, не опровергают выводы судов, направлены на переоценку установленных судами обстоятельств дела,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индивидуальный предприниматель Бадртдиновой Миляуши Ильдаровны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