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10.06.2022 требования Шурубикова А.Н. включены во вторую очередь реестра. Постановлением Девятого арбитражного апелляционного суда от 31.08.2022, оставленным без изменения постановлением Арбитражного суда Московского округа от 29.11.2022, определение от 10.06.2022 изменено в части: требования кредитора включены в третью очередь реестра. В кассационной жалобе Шурубиков А.Н. просит об отмене постановлений апелляционного и окружного судов, ссылаясь на неправильные квалификацию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Правовое обоснование очередности удовлетворения требования, заложенное в мотивировочной части судебных актов, соответствует разъяснениям постановления Пленума Верховного Суда РФ от 21.12.2017 № 53 «О некоторых вопросах, связанных с привлечением контролирующих должника лиц к ответственности при банкротстве», статьям 61.18, 71, 100, 213.27 Федерального закона от 26.10.2002 № 127-ФЗ «О несостоятельности (банкротстве)» и их судебному толкованию.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Шурубикову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