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 заявителей являлись предметом рассмотрения судов и получили правовую оценку с учетом установленных обстоятельств дела. Несогласие заявителей с выводами судов, иная оценка ими фактических обстоятельств дела и иное применение к ним положений закона не свидетельствуют о наличии 2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информационных технологий и цифрового развития Ханты-Мансийского автономного округа – Югры и автономному учреждению Ханты-Мансийского автономного округа - Югры «Югорский научно-исследовательский институт информационных технологий»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