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Доводы заявителей являлись предметом рассмотрения судов и получили правовую оценку с учетом установленных обстоятельств дела. Несогласие заявителей с выводами судов, иная оценка ими фактических обстоятельств дела и иное применение к ним положений закона не свидетельствуют о наличии оснований для пересмотра судебных актов Судебной коллегией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Департаменту информационных технологий и цифрового развития Ханты-Мансийского автономного округа – Югры и автономному учреждению Ханты-Мансийского автономного округа - Югры «Югорский научно-исследовательский институт информационных технологий»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ДЕПАРТАМЕНТ ИНФОРМАЦИОННЫХ ТЕХНОЛОГИЙ И ЦИФРОВОГО РАЗВИТИЯ ХАНТЫ-МАНСИЙСКОГО АВТОНОМНОГО ОКРУГА - ЮГРЫ (подробнее) Ответчики: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