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20.11.2015 признано недействительной сделкой перечисление 30.08.2011 денежных средств должника на счёт общества с ограниченной ответственностью «База промышленной тары» в размере 436 800 рублей; применены последствия недействительности сделки в виде взыскания с общества с ограниченной ответственностью «База промышленной тары» в пользу должника денежных средств в указанном размере. Впоследствии Парамонов Е.В. обратился в апелляционный суд с жалобой на указанное определение суда от 20.11.2015, ходатайствуя о восстановлении пропущенного срока подачи жалобы. Определением Тринадцатого арбитражного апелляционного суда от 15.07.2022, оставленным без изменения постановлением Арбитражного суда Северо-Западного округа от 20.10.2022,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