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14.03.2019 в удовлетворении заявления ФИО2 о включении в реестр должника требования в размере 14 089 315 рублей отказано. ФИО3 (кредитор) обратился с заявлением о взыскании с ФИО2 171 500 рублей судебных расходов, понесенных в связи с рассмотрением заявления о включении требования в реестр. Определением Арбитражного суда Красноярского края от 28.12.2020, оставленным без изменения постановлением Третьего арбитражного апелляционного суда от 12.03.2021 и постановление Арбитражного суда Восточно-Сибирского округа от 16.09.2021, с ФИО2 в пользу ФИО3 взыскано 105 000 рублей судебных расходов. В кассационной жалобе ФИО1 просит о пересмотре судебных актов, ссылаясь на неправильную оценку доказательств и наличие основания для оставления заявления без рассмотрения.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Оценка доказательств отнесена к компетенции судов первой и апелляционной инстанций и не попадает под основания для кассационного пересмотра судебных актов. Вопрос о сроке подачи заявления о взыскании судебных расходов не обсуждался в судах, поэтому не может подниматься в кассационном производстве.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3ААС (подробнее) ГУ МЧС России по КК (подробнее) ИФНС 22 (подробнее) Масловская Н.Е. представитель (подробнее) ПАО Росгосстрах Банк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