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Приморского края с иском о взыскании с ООО «Солдис» 710 880 рублей штрафа за искажение сведений в железнодорожных накладных о массе груза и 710 880 рублей штрафа за превышение грузоподъемности вагона. Решением Арбитражного суда Приморского края от 12.07.2022 иск удовлетворен. Определением Пятого арбитражного апелляционного суда от 14.10.2022 в удовлетворении ходатайства ООО «Солдис» о восстановлении срока на подачу апелляционной жалобы отказано, апелляционная жалоба возвращена заявителю. Арбитражный суд Дальневосточного округа постановлением от 01.12.2022 решение суда первой инстанции оставил без изменения. ООО «Солдис»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искажения в железнодорожных накладных сведений о массе перевозимого груза, что привело к превышению грузоподъемности вагона, руководствуясь положениями статей 25 , 26 , 27 , 98 , 102 Федерального закона от 10.01.2003 № 18-ФЗ «Устав железнодорожного транспорта Российской Федерации», статьями 784 , 785 , 793 Гражданского кодекса Российской Федерации, суды пришли к выводу о наличии оснований для применения к ответчику меры ответственности в виде штрафа.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 (подробнее) Ответчики: ООО "Солдис"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