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17.12.2014 признаны обоснованными и подлежащими включению в реестр требований кредиторов должника требования общества с ограниченной ответственностью «Петрол Групп» в размере 679 182 рубля 8 копеек. Впоследствии Парамонов Е.В. обратился в апелляционный суд с жалобой на указанное определение суда от 17.12.2014, ходатайствуя о восстановлении пропущенного срока подачи жалобы. Определением Тринадцатого арбитражного апелляционного суда от 19.07.2022, оставленным без изменения постановлением Арбитражного суда Северо-Западного округа от 29.09.2022,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апелляционный суд, руководствуясь положениями статей 117, 259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