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Санкт-Петербурга и Ленинградской области от 20.11.2015 признано недействительной сделкой перечисление 12.08.2011 денежных средств должника на счёт общества с ограниченной ответственностью «Комплект строй» в размере 35 000 000 рублей; применены последствия недействительности сделки в виде взыскания с общества с ограниченной ответственностью «Комплект строй» в пользу должника денежных средств в указанном размере. Впоследствии Парамонов Е.В. обратился в апелляционный суд с жалобой на указанное определение суда от 20.11.2015, ходатайствуя о восстановлении пропущенного срока подачи жалобы. Определением Тринадцатого арбитражного апелляционного суда от 15.07.2022, оставленным без изменения постановлением Арбитражного суда Северо-Западного округа от 20.10.2022, отказано в удовлетворении ходатайства о восстановлении процессуального срока, жалоба возвращена заявителю. В кассационной жалобе, поданной в Верховный Суд Российской Федерации, заявитель просит отменить указанные определение суда апелляционной инстанции и постановление суда округа.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таких оснований не установлено. Возвращая жалобу, апелляционный суд, руководствуясь положениями статей 117, 259 и 264 Арбитражного процессуального кодекса Российской Федерации, пришёл к выводу об отсутствии уважительных причин пропуска заявителем процессуального срока на подачу жалобы. Проверяя обоснованность возврата жалобы, суд округа не установил нарушений норм процессуального права и согласился с указанными выводами, обоснованно отклонив доводы заявителя.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