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20.11.2015 признано недействительной сделкой перечисление 29.09.2011 денежных средств должника на счёт общества с ограниченной ответственностью «База промышленной тары» в размере 224 000 рублей; применены последствия недействительности сделки в виде взыскания с общества с ограниченной ответственностью «База промышленной тары» в пользу должника денежных средств в указанном размере. Впоследствии Парамонов Е.В. обратился в апелляционный суд с жалобой на указанное определение суда от 20.11.2015, ходатайствуя о восстановлении пропущенного срока подачи жалобы. Определением Тринадцатого арбитражного апелляционного суда от 15.07.2022, оставленным без изменения постановлением Арбитражного суда Северо-Западного округа от 20.10.2022,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апелляционный суд, руководствуясь положениями статей 117,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