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14.04.2022, оставленным без изменения постановлением Третьего арбитражного апелляционного суда от 27.09.2022 и постановлением Арбитражного суда Восточно-Сибирского округа от 06.12.2022, в удовлетворении иска отказано. В кассационной жалобе общество «ВЭЙ» просит об отмене судебных актов, ссылаясь на недоказанность его вины в простое вагонов.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основаны на актах общей формы, условиях договора от 13.12.2020 № 2 об оказании услуги по организации перевозки груженых и порожних контейнеров в составе контейнерного поезда и соглашения об организации расчетов от 12.03.2012 № ЕЛС-189-Э, статье 39 Федерального закона от 10.01.2003 № 18-ФЗ «Устав железнодорожного транспорта Российской Федерации», статье 1102 Гражданского кодекса Российской Федерации. Доводы заявителя о причинах простоя вагонов были предметом рассмотрения судов, мотивированно отклонены и не создают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«ВЭЙ»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"ВЭЙ" (подробнее) Ответчики: АО "РЖД" (подробнее) ЕРМАК НАДЕЖДА МИХАЙЛОВНА (подробнее) ОАО "Российские железные дороги" (подробнее) Судьи дела: Ксенофонтова Н.А.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