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06.06.2022, оставленным без изменения постановлением Пятнадцатого арбитражного апелляционного суда от 19.07.2022 и постановлением Арбитражного суда Северо-Кавказского округа от 14.09.2022, в удовлетворении заявления отказано. В кассационной жалобе Ступко Д.В. просит об отмене судебных актов, ссылаясь на то, что спорный дом является единственным принадлежащим ему на праве собственности жилым помещением, установленные судами пребывание дома в ремонте и регистрация должника в доме в период ведения процедур банкротства не являются основаниями для отказа в исключении дома из конкурсной массы.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техническое состояние дома и регистрация в нем должника в период ведения процедур банкротства очевидно свидетельствуют о наличии у должника и фактическом использовании им для проживания иного жилого помещения. Суды также установили, что включенное в реестр требование ПАО «РНКБ» как обеспеченное залогом спорного дома исполнено в процедурах банкротства не за счет обращения взыскания на жилой дом, а за счет иных средств, которые могли быть направлены на погашение требований незалоговых кредиторов. Следующие из споров, рассмотренных в рамках дела о банкротстве, обстоятельства поведения должника и членов его семьи (приоритетное погашение долга перед названным залоговым кредитором, отказ при имеющейся неплатежеспособности от наследства в пользу обеспеченной жильем находящейся под опекой матери) делают выводы судов об искусственном создании исполнительского иммунитета и со злоупотреблениями соответствующими постановлению Конституционного Суда Российской Федерации от 26.04.2021 № 15-П, которым приобретенный вследствие таких действий исполнительский иммунитет защите не подлежит.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Ступко Дмитрию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