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в кассационном порядке указанные судебные акты в части взыскания с него неосновательного обогащения.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2 Федерации, руководствуясь статьями 309, 310, 779, 781, 783, 1102 Гражданского кодекса Российской Федерации, установив отсутствие надлежащих доказательств оказания ответчиком (исполнитель) услуг на сумму перечисленных истцом (заказчик) денежных средств до получения уведомления последнего об отказе от исполнения договора, суды пришли к выводу, что оснований для удержания ответчиком спорной суммы не имеется, в связи с чем удовлетворили исковые требования о взыскании неосновательного обогащения.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Морозовой Ирины Валерьевны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