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исковые требования и подтверждая правильность этого вывода, суды, исследовав и оценив представленные в материалы дела доказательства по правилам статьи 71 Арбитражного процессуального кодекса 2 Российской Федерации, руководствуясь статьями 309, 310, 702, 723 Гражданского кодекса Российской Федерации, исходили из наличия оснований для возложения на ответчика (исполнитель) обязанности по устранению недостатков выполненных работ ввиду доказанности их возникновения по вине исполнителя.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Полномочиями по изменению сделанных судами выводов по обстоятельствам спора судебная коллегия кассационной инстанции в силу части 3 статьи 291.14 Арбитражного процессуального кодекса Российской Федерации не наделена.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«Ремэлектросервис»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