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10.06.2022, оставленным без изменения постановлением Второго арбитражного апелляционного суда от 11.08.2022 и постановлением Арбитражного суда Волго-Вятского округа от 15.12.2022, в удовлетворении заявления Соколова Н.М. об исправлении описки, допущенной в определении Арбитражного суда Костромской области от 30.05.2022,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попадает под случаи применения статьи 179 Арбитражного процессуального кодекса Российской Федерации, поэтому заявление правомерно отклонено.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