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5.09.2022, оставленным без изменения постановлением Арбитражного суда Волго- Вятского округа от 16.12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