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Брянской области от 19.05.2022 завершена процедура реализации имущества должника, Сторожок Р.Н. освобожден от дальнейшего исполнения требований кредиторов, в том числе требований кредиторов, не заявленных при введении реализации имущества гражданина, за исключением обязательств перед кредитором - АО «Газпромбанк». Постановлением Двадцатого арбитражного апелляционного суда от 26.08.2022 определение суда первой инстанции оставлено без изменения. Арбитражный суд Центрального округа постановлением от 21.11.2022 указанные судебные акты оставил без изменения. Сторожок Р.Н. обратился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его от дальнейшего исполнения обязательств перед кредитором,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руководствовались положениями статьи 213.28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недобросовестного поведения должника, выразившегося в предоставлении при получении кредита заведомо ложных сведений о своих доходах с многократным превышением их действительного размера.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АО "Альфа Банк" (подробнее) АО БАНК ГПБ (подробнее) АССОЦИАЦИЯ "МОСКОВСКАЯ САМОРЕГУЛИРУЕМАЯ ОРГАНИЗАЦИЯ ПРОФЕССИОНАЛЬНЫХ АРБИТРАЖНЫХ УПРАВЛЯЮЩИХ" (подробнее) ПАО Банк ФК "Открытие" (подробнее) ф/у Андреев Г.В.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