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ТЛК «Уралтрансхолдинг»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ООО «Профит Транс» 199 800 рублей стоимости некачественно оказанных услуг за отправку груза и 798 719 рублей 04 копеек в возмещение убытков, вызванных повреждением груза. Решением Арбитражного суда Свердловской области от 29.04.2022, оставленным без изменения постановлением Семнадцатого арбитражного апелляционного суда от 02.08.2022 и постановлением Арбитражного суда Уральского округа от 25.11.2022, иск удовлетворен в части взыскания 798 719 рублей 04 копеек; в удовлетворении иска в остальной части отказано. ООО «Профит 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требование о взыскании убытков, вызванных повреждением груза, суды руководствовались положениями статей 15 , 393 , 796 Гражданского кодекса Российской Федерации и исходили из того, что экспедитор, приняв груз, как профессиональный участник гражданского оборота в сфере оказания соответствующих услуг обязан обеспечить сохранность груза, включая правильность его размещения и крепления, и несет риск ненадлежащего исполнения обязательства, признав доказанными обстоятельства повреждения груза и размер убытков с учетом вступившего в законную силу судебного акта.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ТЛК УРАЛТРАНСХОЛДИНГ (подробнее) Ответчики: ООО ПРОФИТ ТРАНС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