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Обжалуемое постановление принято в пределах полномочий, предоставленных суду кассационной инстанции (статьи 286 , 287 Арбитражного процессуального кодекса Российской Федерации). Приведенные в нем выводы соответствуют нормам права, оснований для переоценки этих выводов, а также исключения из описательной части обжалуемого судебного акта поименованного заявителем абзаца текста, не являющегося самостоятельным выводом суда округа, не имеется.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«Производственное объединение «Маяк»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"НЕОЛАНТ" (подробнее) Ответчики: Федеральная антимонопольная служба (подробнее) Иные лица: ООО "НЕОЛАНТ ЯДЕРНЫЕ И РАДИАЦИОННЫЕ ТЕХНОЛОГИИ" (подробнее) ООО ПРОИЗВОДСТВЕННАЯ КОМПАНИЯ "СТРОЙКОМПЛЕКТ" (подробнее) ООО "Уралстройэнерго" (подробнее) ФГУП "НИТИ им. А.П. Александрова" (подробнее) ФГУП "Производственное объединение "Маяк" (подробнее) Судьи дела: Антонова М.К. (судья) (подробнее) Последние документы по делу: Определение от 14 марта 2023 г. по делу № А40-291678/2021 Определение от 9 марта 2023 г. по делу № А40-291678/2021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