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недействительным договора купли-продажи от 03.04.2014 нежилого помещения, общей площадью 231,4 кв.м., расположенного на цокольном этаже по адресу: Республика Башкортостан, &lt;...&gt;, пом. IV «А», с кадастровым номером 02:44:210801:3269, заключенного между должником и ФИО1, применении последствий недействительности сделки в виде обязания ответчика возвратить в конкурсную массу должника спорное имущество. Определением Арбитражного суда Республики Башкортостан от 25.10.2019, оставленным без изменения постановлениями Восемнадцатого арбитражного апелляционного суда от 16.12.2019 и Арбитражного суда Уральского округа от 04.03.2020, заявление удовлетворено. В кассационной жалобе, поданной в Верховный Суд Российской Федерации, заявитель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 168 Гражданского кодекса Российской Федерации, статьями 61.1, 61.2 213.32 Федерального закона от 26.10.2002 № 127-ФЗ «О несостоятельности (банкротстве)», пунктами 4, 8, 9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совершения должником оспариваемой сделки в пользу заявителя в период подозрительности, при отсутствии достоверных, допустимых и достаточных доказательств оплаты переданного по ней имущества, затем реализованного третьему лицу по заниженной стоимости при отсутствии на то разумных экономических мотивов, что свидетельствовало о направленности действий участников сделки на причинение вреда имущественным правам кредиторов, признав не пропущенным срок для её оспаривания.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"Башкирские распределительные тепловые сети" (подробнее) ООО "Гипрострой" (подробнее) Ответчики: Летунова Ольга Петровна (представитель Летунов Виталий Анатольевич) (подробнее) ООО "Промстрой" (подробнее) ООО "ПромСтрой" в лице конкурсного управляющего Кальметьева А.М. (подробнее) ООО "промстрой" в лице к/у . . (подробнее) Иные лица: Евросибирская саморегулируемая организация арбитражных управляющих (подробнее) Летунов В. (подробнее) Межрайонная ИФНС №3 по РБ (подробнее) НП "ПАУ ЦФО" (подробнее) ООО "Мир аудита" (подробнее) ООО "Техно-Альянс" (подробнее) Судьи дела: Корнелюк Е.С. (судья) (подробнее) Последние документы по делу: Определение от 14 марта 2023 г. по делу № А07-2517/2017 Определение от 30 июня 2020 г. по делу № А07-2517/2017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