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22.04.2022, оставленным без изменения постановлением Седьмого арбитражного апелляционного суда от 24.09.2022 и постановлением Арбитражного суда Западно-Сибирского округа от 07.12.2022, иск удовлетворен. В кассационной жалобе общество «Сервис-Тэл» просит об отмене судебных актов, ссылаясь на переписку в качестве основания для создания прав и обязанностей сторон. В силу части 1 статьи 291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наличие у ответчика обязанности в силу статьи 1102 Гражданского кодекса Российской Федерации возвратить полученную от истца сумму, не установив основания для ее удержания. Иная оценка доказательств заявителем не составляет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«Сервис-Тэл»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