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13.07.2022, оставленным без изменения постановлением Девятого арбитражного апелляционного суда от 05.10.2022 и постановлением Арбитражного суда Московского округа от 19.12.2022, взыскано 30 000 рублей штрафа, 995 рублей основного долга и 8 рублей 38 копеек процентов за пользование чужими денежными средствами. В кассационной жалобе фабрика просит об отмене судебных актов, ссылаясь на недопустимость доказательств перевеса в связи с нарушением порядка контрольного взвешивания.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Довод о нарушении правил доказывания и оценке доказательств не попадает под указанные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«Омская макаронная фабрика»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"Российские железные дороги" (подробнее) Ответчики: ООО "Транспортная группа Транско"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