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жалобы, в том числе со ссылкой на судебную практику,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Иное толкование заявителем жалобы норм материального права не свидетельствует о неправильном применении их судом округа с учетом установленных обстоятельств дела.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постановления суда округа остается без рассмотрения.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«ПОЛИТЕХФОРМ-М»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обороны Российской Федерации (подробнее) Ответчики: ООО "ПОЛИТЕХФОРМ-М"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