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Московской области от 27.10.2021 завершена процедура реализации имущества должника, отказано в применении в отношении должника правила об освобождении от дальнейшего исполнения требований кредиторов. Постановлением Десятого арбитражного апелляционного суда от 28.03.2022, оставленным без изменения постановлением Арбитражного суда Московского округа от 15.11.2022, отменено определение арбитражного суда первой инстанции от 27.10.2021 в части разрешения вопроса о применении правила об освобождении должника от дальнейшего исполнения требований кредиторов; должник освобождён от дальнейшего исполнения требований кредиторов, в том числе требований кредиторов, не заявленных при введении процедуры реализации имущества гражданина.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отказать в применении в отношении должника правила об освобождении от дальнейшего исполнения требований кредиторов.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в указанной части, апелляционный суд, руководствуясь положениями пунктов 3-5 статьи 213.28 Федерального закона от 26.10.2002 № 127-ФЗ «О несостоятельности (банкротстве)», признал наличие возможности применения в отношении должника правил об освобождении от исполнения обязательств ввиду добросовестного поведения должника и недоказанности наличия оснований для неприменения данных правил.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НП АУ "Орион" (подробнее) ПАО Банк ВТБ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