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Тверской области от 05.08.2022, оставленным без изменения постановлением Четырнадцатого арбитражного апелляционного суда от 19.09.2022 и постановлением Арбитражного суда Северо-Западного округа от 07.12.2022, произведена замена конкурсного кредитора – публичного акционерного общества «Банка ВТБ» с суммой требований 1 574 284 рублей 68 копеек на процессуального правопреемника – ФИО2, в удовлетворении заявления банка об исключении требований из реестра отказано. В кассационной жалобе общество «КАПИТАЛ БИЗНЕС» просит об отмене судебных актов, ссылаясь на погашение задолженности другим лицом и злоупотребление ФИО2 правом.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наличие судебного решения о взыскании задолженности со ФИО2, следовательно, погашение им долга правомерно.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«КАПИТАЛ БИЗНЕС»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Ответчики: ИП Пашкова Ольга Валентиновна (подробнее) Иные лица: Межрайонная ИФНС России №12 по Тверской области (подробнее) НОЧУ ДПО "Институт судебных экспертиз и криминалистики"" (подробнее) ООО "КАПИТАЛ Бизнес" "КБ" (подробнее) ПАО Банк ВТБ (подробнее) ПАО "Сбербанк России" (подробнее) УПРАВЛЕНИЕ ФССП ПО ТВЕРСКОЙ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