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Романов Михаил Романович обратился в суд с заявлением о признании недействительной сделкой договора купли-продажи от 19.02.2021 № 746/50-Д/21, заключенного между должником и Шорниковым С.Л., и применении последствий недействительности сделки. Определением Арбитражного суда Московской области от 16.09.2022, оставленным без изменения постановлениями Десятого арбитражного апелляционного суда от 30.11.2022 и Арбитражного суда Московского округа от 21.02.2023, заявление удовлетворено, применены последствия недействительности сделки в виде взыскания с с Шорникова С.Л. в конкурсную массу должника 5 000 000 рублей. Не согласившись с вышеуказанными судебными актами, Шорников С.Л.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полагает, что исполнение обжалуемых судебных актов до рассмотрения кассационной жалобы может привести к нарушению баланса интересов лиц, вовлеченных в процесс банкротства должника.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Шорникова Сергея Львовича о приостановлении исполнения определения Арбитражного суда Московской области от 16.09.2022 по делу № А41-87564/2019, оставленного без изменения постановлением Десятого арбитражного апелляционного суда от 30.11.2022 и постановлением Арбитражного суда Московского округа от 21.02.2023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