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25.04.2022, оставленным без изменения постановлением Тринадцатого арбитражного апелляционного суда от 25.07.2022 и постановлением Арбитражного суда Северо-Западного округа от 23.11.2022, в удовлетворении заявления отказано. В кассационной жалобе Марценюк С.Н. просит об отмене судебных актов, ссылаясь на неправильные оценку обстоятельств заключения оспариваемого договора и применение статей 178, 179, 10, 168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выдачи поручительства не создают оснований для его недействительности в силу статей 10, 168, 178, 179 Гражданского кодекса Российской Федерации. Иные оценка обстоятельств спора и толкование норм права должником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Марценюку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