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ФИО3 обратилась в арбитражный суд с заявлением о включении её требований в реестр требований кредиторов должника. Определением Арбитражного суда города Москвы от 14.05.2019, оставленным без изменения постановлением Девятого арбитражного апелляционного суда от 15.07.2019 и постановлением Арбитражного суда Московского округа от 25.09.2019, в третью очередь реестра включено требование ФИО3 в размере 24 504 000 руб. основного долга и 920 550 руб. процентов. В кассационной жалобе финансовый управляющий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71, 100 Федерального закона от 26.10.2002 № 127-ФЗ «О несостоятельности (банкротстве)», статьями 809 , 810 Гражданского кодекса Российской Федерации и исходили из доказанности факта наличия данного требования, реальности договора займа между сторонами, его частичного погашения, наличия у ФИО3 финансовой возможности предоставления займа.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ИФНС №27 по г. Москве (подробнее) МИФНС №46 по г. Москве (подробнее) ООО "Интертекстиль корп." (подробнее) ООО МАЛТРИ (подробнее) ООО ОРТО (подробнее) ООО "ТАПИБУ" (подробнее) ПАО Банк "Финансовая Корпорация Открытие" (подробнее) ПАО "БИНБАНК" (подробнее) ПАО Московский банк Сбербанк (подробнее) Иные лица: ГУ ЦАСР УВМ МВД России по г. Москве (подробнее) Замоскворецкий отдел ЗАГС (подробнее) НП "Ассоциация МСРО АУ" (подробнее) ООО Ринтек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