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Костромской области от 07.06.2022, оставленным без изменения постановлением Второго арбитражного апелляционного суда от 05.08.2022 и постановлением Арбитражного суда Волго-Вятского округа от 02.12.2022, в удовлетворении заявления Соколова Н.М. об исправлении описки, допущенной в определении Арбитражного суда Костромской области от 13.05.2022, отказано. В кассационной жалобе Соколов Н.М. просит отменить судебные акты как незаконные.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Изменение существа мотивировочной части определения, требуемое Соколовым Н.М., не попадает под случаи применения статьи 179 Арбитражного процессуального кодекса Российской Федерации, поэтому заявление правомерно отклонено.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