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15.03.2022, оставленным без изменения постановлением Седьмого арбитражного апелляционного суда от 06.06.2022 и постановлением Арбитражного суда Западно-Сибирского округа от 15.11.2022, в удовлетворении иска отказано. В кассационной жалобе общество «Регионгазстрой» просит об отмене судебных актов, ссылаясь на неосновательное применение норм права о перевозке и игнорирование злоупотребления правом ответчиками при удовлетворении заявления о применении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помимо оценки правоотношений как перевозочных оценили условия для взыскания убытков из заявленного истцом причинения вреда и, не установив утраты автомобиля и причастности ответчиков к выбытию автомобиля из владения истца, отказали в иске и в соответствии со статьями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«Регионгазстрой»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"Регионгазстрой" (подробнее) Ответчики: ООО "Стройсервис" (подробнее) ООО "Техрезерв"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