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20.04.2022, оставленным без изменения постановлением Девятого арбитражного апелляционного суда от 04.07.2022 и постановлением Арбитражного суда Московского округа от 03.11.2022, в удовлетворении заявления отказано. В кассационной жалобе Шеврина М.С. просит об отмене судебных актов, ссылаясь на отсутствие у нее информации о передаче квартиры кредитору, неправильное исчисление срока исковой давности и наличие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2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залоговый статус квартиры и передачу ее залоговому кредитору во исполнение решения суда общей юрисдикции в отсутствие преимущественных притязаний других кредиторов и пропуск срока исковой давности для оспаривания сделки по передаче. Отсутствие осведомленности действующего финансового управляющего о состоявшейся передаче квартиры не влечет изменения исчисления срока исковой давности по заявленному им требованию.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Шевриной М.С.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