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06.06.2022, оставленным без изменения постановлением Одиннадцатого арбитражного апелляционного суда от 25.08.2022 и постановлением Арбитражного суда Поволжского округа от 01.11.2022, в удовлетворении заявления отказано. В кассационной жалобе Махлай С.В. просит об отмене судебных актов, ссылаясь на игнорирование существенных нарушений при проведении торгов и всех приведенных в обоснование нарушений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 финансовым управляющим процедуры проведения 08.02.2022 и 18.02.2022 торгов, продажу имущества по наибольшей предложенной цене, поэтому в силу статей 110, 111, 139, 213.25,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оснований для признания торгов и заключенных по их итогам договоров купли-продажи недействительными. Доводы должника об объявлении торгов в отсутствие утвержденного положения о продаже, продаже не находящегося в собственности должника имущества, составе лотов и оценке имущества, преимущественных условиях для определенных лиц и ограничении количества участников, отсутствии всей необходимой информации о продаваемом имуществе, дроблении пакета акций были предметом рассмотрения судов в пределах настоящего спора и оценены с отсылкой к судебным актам, принятым по другим спорам в деле о банкротстве должника, которыми установлены опровергающие перечисленные доводы обстоятельства.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Махлаю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