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09.12.2021 иск удовлетворен. Четвертый арбитражный апелляционный суд постановлением от 19.07.2022 отменил решение от 09.12.2021 и в удовлетворении иска отказал. Арбитражный суд Восточно-Сибирского округа постановлением от 08.11.2022 постановление апелляционного суда от 19.07.2022 оставил без изменения. В кассационной жалобе общество «ГК Вагонсервис» просит об отмене судебных актов апелляционного и окружного судов, ссылаясь на отсутствие в спорном случае законодательного запрета на взыскание убытков сверх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отказал во взыскании убытков не в связи с наличием в спорном случае незаконного соотношения неустойки и убытков, а из-за отсутствия в исследованных не переоцениваемых в кассационном порядке обстоятельствах правоотношений аренды между истцом и собственником вагонов необходимого в силу статей 15, 393 Гражданского кодекса Российской Федерации состава убытков.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«ГК Вагонсервис»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