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марта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Иное толкование заявителем жалобы норм материального права не свидетельствует о неправильном применении их судами с учетом установленных обстоятельств дела.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«Юг-Альянс»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"ЮГ-АЛЬЯНС" (подробнее) Ответчики: Администрация города Ялта Республики Крым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