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21.06.2022 в отношении должника была введена процедура реструктуризации долгов гражданина, утвержден финансовый управляющий, требования публичного акционерного общества «Московский областной банк» (кредитора, далее – банк) в размере 374 650 414 рублей 46 копеек включены в реестр. Постановлением Девятого арбитражного апелляционного суда от 11.10.2022, оставленным без изменения постановлением Арбитражного суда Московского округа от 13.12.2022, определение от 21.06.2022 отменено, должник признан несостоятельным (банкротом), в отношении него введена процедура реализации имущества гражданина, утвержден финансовый управляющий, требования банка в размере 374 650 414 рублей 46 копеек включены в реестр. В кассационной жалобе Янин В.С. просит об отмене судебных актов, ссылаясь на игнорирование представленных доказательств прекращения обязательства перед банком исполнением.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Выводы судов об обоснованности заявления о банкротстве должника и подлежащей включению в реестр задолженности основаны на приговоре суда, статьях 213.3, 213.6, 213.25 Федерального закона от 26.10.2002 № 127-ФЗ «О несостоятельности (банкротстве)». Изложенные в жалобе возражения являлись предметом рассмотрения судов и получили оценку.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Янину Виктору Станиславовичу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