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Позиция акционерного общества «Центральный рынок» была ранее изучена в ходе судебного разбирательства и получила необходимую правовую оценку. Суды правильно учли, что по смыслу статей 41 , 42 Бюджетного кодекса Российской Федерации основной целью участия муниципального образования в акционерном обществе является извлечение бюджетных доходов от использования муниципального имущества, переданного в оплату акций такого общества. Принимая закон о бюджете на очередной финансовый год и плановый период, уполномоченные органы муниципального образования обязаны запланировать поступления в доходную часть бюджета от всех имеющихся источников бюджетных доходов, в том числе от доходов в виде дивидендов по акциям, принадлежащим муниципальному образованию. В силу пункта 5 части 2 статьи 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орган внешнего муниципального финансового контроля проводит оценку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собственностью, а в силу пункта 8 части 2 названной статьи осуществляет анализ и мониторинг бюджетного процесса в муниципальном образовании, частью которого является исполнение бюджета по доходам. Ввиду этого суды правомерно сочли, что Контрольно-счетная палата города Таганрога полномочна проводить мероприятия внешнего муниципального финансового контроля в отношении акционерного общества «Центральный рынок», в уставном капитале которого с долей в 25,2 % участвует муниципальное образование «город Таганрог», вне зависимости от принятия обществом решения о выплате дивидендов по акциям.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«Центральный рынок»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АО "ЦЕНТРАЛЬНЫЙ РЫНОК" (подробнее) ОАО "Центральный рынок" (подробнее) Ответчики: КОНТРОЛЬНО-СЧЕТНАЯ ПАЛАТА Г. ТАГАНРОГА (подробнее) КСП г. Таганрога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