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позиции заявителя, судами установлено, что дополнительным соглашением к контракту изменены объем подлежащих выполнению работ, наименование единиц используемых товаров, а также их поставляемая цена за единицу. При этом основанием для изменения данных условий явилось неоднократное нарушение подрядчиком принятых на себя обязательств. С учетом указанных обстоятельств суды правомерно не усмотрели правовых оснований для применения подпункта «а» пункта 2 Правил осуществления заказчиком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в 2015, 2016 и 2020 годах обязательств, предусмотренных контрактом, утвержденных постановлением Правительства Российской Федерации от 04.07.2018 № 783. Доводы, изложенные в кассационной жалобе, в том числе о начислении неустойки (пеней) за просрочку предоставления обеспечения, которое, по мнению заявителя, не имеет стоимостного выражения, рассмотрены судами и обоснованно отклонены как основанные на ошибочном применении положений законодательства к установленным обстоятельствам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«Телеком-Монтаж-Юг»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государственное казенное учреждение "Дирекция по строительству и эксплуатации объектов Росграницы" (подробнее) Ответчики: ООО "Телеком-Монтаж-Юг"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