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15.09.2022, оставленным без изменения постановлением Арбитражного суда Волго- Вятского округа от 16.12.2022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