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 к постановлению апелляционного суда от 15.06.2022. Определением Второго арбитражного апелляционного суда от 06.09.2022, оставленным без изменения постановлением Арбитражного суда Волго- Вятского округа от 16.12.2022,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