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 от 15.06.2022. Определением Второго арбитражного апелляционного суда от 06.09.2022, оставленным без изменения постановлением Арбитражного суда Волго- Вятского округа от 16.12.2022,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