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10.06.2022. Определением Арбитражного суда Костромской области от 18.07.2022, оставленным без изменения постановлением Второго арбитражного апелляционного суда от 15.09.2022 и постановлением Арбитражного суда Волго-Вятского округа от 16.12.2022,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