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первоначально поданная кассационная жалоба на указанные судебные акты возвращена письмом Верховного Суда Российской Федерации от 27.12.2022 на основании пункта 3 части 1 статьи 291.5 Арбитражного процессуального кодекса Российской Федерации в связи с подачей жалобы с пропуском срока, установленного частью 1 статьи 291.2 АПК РФ, и отсутствием ходатайства о его восстановлении. Настоящая кассационная жалоба на указанные судебные акты подана заявителем (согласно оттиску штампа приемной суда) 01.03.2023, то есть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обособленного спора по делу № А40-68745/2020 является постановление Арбитражного суда Московского округа от 21.10.2022, вступившее в законную силу, согласно части 5 статьи 289 АПК РФ, со дня его принятия – 21.10.2022, следовательно, двухмесячный срок на подачу кассационной жалобы истек 21.12.2022, тогда как жалоба подана 01.03.2023. Одновременно с подачей жалобы финансовым управляющим заявлено ходатайство о восстановлении пропущенного процессуального срока. В качестве причины пропуска срока указана публикация обжалуемого судебного акта на следующий день после принятия.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Правовых оснований для иного исчисления срока подачи жалобы, в том числе с момента публикации судебного акта или момента получения копии судебного акта, не имеется. Неправильное исчисление заявителем срока подачи кассационной жалобы, не соответствующее положениям статей 113,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Финансовый управляющий являлся заявителем кассационной жалобы, рассмотренной окружным судом, и знал о результатах рассмотрения жалобы, судебный акт опубликован на следующий день после его принятия.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3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Базарнову Алексею Владимировичу в удовлетворении ходатайства о восстановлении пропущенного процессуального срока подачи кассационной жалобы на определение Арбитражного суда города Москвы от 06.05.2022 по делу № А40-68745/2020, постановление Девятого арбитражного апелляционного суда от 26.07.2022 и постановление Арбитражного суда Московского округа от 21.10.2022 по тому же делу. Жалобу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