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Несогласие заявителя с выводами судов, иная оценка фактических обстоятельств дела, направленная на их повторное исследование, не означают допущенной при рассмотрении дела судебной ошибки и не являются основанием для пересмотра судебных актов Судебной коллегией Верховного Суда Российской Федерации.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Производственно-коммерческая фирма «Интеграция»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ПРОИЗВОДСТВЕННО-КОММЕРЧЕСКАЯ ФИРМА ИНТЕГРАЦИЯ (подробнее) Ответчики: ЛЯНТОРСКОЕ ХОЗЯЙСТВЕННО-ЭКСПЛУАТАЦИОННОЕ УПРАВЛЕНИЕ (подробнее) ООО Производственно-коммерческая фирма "Интеграция" (подробнее) Иные лица: Арбитражный суд Западно-Сибирского округа (подробнее) Восьмой арбитражный апелляционный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