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Как следует из постановления суда округа, заявитель не лишен права на оспаривание (обжалование) выраженного в письме от 22.04.2021 № 3/14 решения об отказе в возбуждении дела об административном правонарушении в порядке, установленном нормами главы 24 или 25 Арбитражного процессуального кодекса Российской Федерации.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«Дорожная Строительная Компания «Карьер»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"Дорожная Строительная Компания "Карьер" (подробнее) Ответчики: Центральное межрегиональное территориальное управление Инспекция по Республике Коми, Архангельской области и Ненецкому автономному округу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