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05.04.2022, оставленным без изменения постановлением Девятого арбитражного апелляционного суда от 24.06.2022 и постановлением Арбитражного суда Московского округа от 25.10.2022, требования предпринимателя признаны обоснованными и подлежащими удовлетворению за счет оставшегося после удовлетворения требований кредиторов, включенных в реестр, имущества должника. В кассационной жалобе предприниматель просит об отмене судебных актов, ссылаясь на неосновательные признание пропуска срока подачи заявления о включении требования в реестр и возложение на него негативных последствий от действий почты.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Установленная судами совокупность действий и обстоятельств направления и поступления в арбитражный суд рассматриваемого заявления, не опровергнутые кредитором, позволила судам в силу статей 9 , 41 Арбитражного процессуального кодекса Российской Федерации признать несвоевременной подачу заявления о включении требования в реестр и применить соответствующее последствие.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ЗАО Ойл Продакшн (подробнее) ИФНС России №15 по г. Москве (подробнее) СРО СЕМТЕК (подробнее) ф/у Степанова З.А. (подробнее) Иные лица: ФГУП "Почта России" в лице УФПС Владимирской области - филиала "Почта России" (подробнее) Филиал ППК Роскадастр по Воронежской области (подробнее) Филиал ППК "Роскадастр" по Москве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