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Оснований, по которым можно не согласиться с выводами суда округа о направлении дела на новое рассмотрение в арбитражный суд первой инстанции, не усматривается. Обжалуемое постановление принято в пределах полномочий, предоставленных суду кассационной инстанции (статьи 286 , 287 Арбитражного процессуального кодекса Российской Федерации).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Республики Алтай «Республиканское управление автомобильных дорог общего пользования «Горно-Алтайавтодор»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"Чойское дорожное ремонтно-строительное управление" (подробнее) Ответчики: Казенное учреждение Республики Алтай "Республиканское управление автомобильных дорог общего пользования "Горно-Алтайавтодор" (подробнее) Иные лица: ООО "Специализированная фирма "РусЭксперТ"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