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24.11.2020, оставленным без изменения постановлением Девятого арбитражного апелляционного суда от 19.09.2022 и постановлением Арбитражного суда Московского округа от 17.11.2022, заявление удовлетворено. В кассационной жалобе ФИО1 просит об отмене судебных актов, ссылаясь на игнорирование решения суда общей юрисдикции в отношении размера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Принятый судами расчет процентов не противоречит решению суда общей юрисдикции, поскольку в нем не применен признанный этим судом не согласованным сторонами договора размер процентов.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Администрация г. Нижневартовска (подробнее) ООО КУ НВП Энергостандарт (подробнее) ООО "Научно-исследовательский институт экологии и рационального использования природных ресурсов" (подробнее) ООО ТОРГОВЫЙ ДОМ "КОМПЛЕКСНЫЕ РЕШЕНИЯ" (подробнее) ПАО "Сбербанк" в лице Уральского филиала (подробнее) Иные лица: ГОРОВЕНКО ВАСИЛИЙ ВИКТОРОВИЧ (подробнее) ООО Производственная экологическая компания "Промышленная экология" (подробнее) Потребительское общество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