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Разрешая спор и удовлетворяя иск, суды руководствовались статьями 210, 215, 779, 781 Гражданского кодекса Российской Федерации, статьями 154, 155 Жилищного кодекса Российской Федерации, положениями Федерального 2 закона от 24.06.1998 № 89-ФЗ «Об отходах производства и потребления»,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Правил обращения с твердыми коммунальными отходами, утвержденных постановлением Правительства Российской Федерации от 12.11.2016 № 1156 и, исследовав и оценив представленные в материалы доказательства по правилам статьи 71 Арбитражного процессуального кодекса Российской Федерации, исходили из доказанности факта наличия на стороне ответчика обязанности по оплате оказанных истцом услуг по обращению с твердыми коммунальными отходами.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«Город Калининград»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