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жалобе, поданной в Верховный Суд Российской Федерации, заявитель, ссылаясь на нарушение судом округа норм процессуального права, просит пересмотреть указанный судебный акт в кассационном порядке. По смыслу части 1 статьи 291.1, части 7 статьи 291.6, статьи 291.11 Арбитражного процессуального кодекса Российской Федерации (далее – АПК РФ)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Отказывая в удовлетворении заявления о пересмотре судебного акта по вновь открывшимся обстоятельствам, суды первой и апелляционной инстанций руководствовались статьями 309, 311 АПК РФ и исходили из того, что обстоятельства, на которые ссылается заявитель в обоснование своего заявления, не отвечают установленным процессуальным законом 2 критериям, влекущим пересмотр вступившего в законную силу судебного акта, кроме того, заявителем пропущен срок на обращение с соответствующим заявлением. Суд округа признал выводы судов законным и обоснованным, соответствующими фактическим обстоятельствам дела и основанными на правильном применении норм права. Изложенные в кассационной жалобе доводы не свидетельствуют о наличии существенных нарушений норм материального права и (или) процессуального права и в силу статьи 291.6 АПК РФ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«Аттис трейд»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